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left"/>
        <w:rPr>
          <w:rFonts w:ascii="黑体" w:hAnsi="黑体" w:eastAsia="黑体"/>
          <w:bCs/>
          <w:color w:val="000000"/>
          <w:kern w:val="0"/>
          <w:sz w:val="32"/>
          <w:szCs w:val="32"/>
        </w:rPr>
      </w:pPr>
      <w:r>
        <w:rPr>
          <w:rFonts w:hint="eastAsia" w:ascii="黑体" w:hAnsi="黑体" w:eastAsia="黑体"/>
          <w:bCs/>
          <w:color w:val="000000"/>
          <w:kern w:val="0"/>
          <w:sz w:val="32"/>
          <w:szCs w:val="32"/>
        </w:rPr>
        <w:t>附件</w:t>
      </w:r>
    </w:p>
    <w:p>
      <w:pPr>
        <w:tabs>
          <w:tab w:val="left" w:pos="4500"/>
        </w:tabs>
        <w:autoSpaceDE w:val="0"/>
        <w:autoSpaceDN w:val="0"/>
        <w:spacing w:beforeLines="150"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技术先进型服务业务认定范围（试行）</w:t>
      </w:r>
    </w:p>
    <w:p>
      <w:pPr>
        <w:tabs>
          <w:tab w:val="left" w:pos="4500"/>
        </w:tabs>
        <w:autoSpaceDE w:val="0"/>
        <w:autoSpaceDN w:val="0"/>
        <w:spacing w:line="520" w:lineRule="exact"/>
        <w:rPr>
          <w:rFonts w:eastAsia="仿宋"/>
          <w:color w:val="000000"/>
          <w:sz w:val="30"/>
          <w:szCs w:val="30"/>
        </w:rPr>
      </w:pPr>
    </w:p>
    <w:p>
      <w:pPr>
        <w:tabs>
          <w:tab w:val="left" w:pos="4500"/>
        </w:tabs>
        <w:autoSpaceDN w:val="0"/>
        <w:spacing w:line="52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一、信息技术外包服务（</w:t>
      </w:r>
      <w:r>
        <w:rPr>
          <w:rFonts w:ascii="黑体" w:hAnsi="黑体" w:eastAsia="黑体"/>
          <w:color w:val="000000"/>
          <w:sz w:val="32"/>
          <w:szCs w:val="32"/>
        </w:rPr>
        <w:t>ITO</w:t>
      </w:r>
      <w:r>
        <w:rPr>
          <w:rFonts w:hint="eastAsia" w:ascii="黑体" w:hAnsi="黑体" w:eastAsia="黑体"/>
          <w:color w:val="000000"/>
          <w:sz w:val="32"/>
          <w:szCs w:val="32"/>
        </w:rPr>
        <w:t>）</w:t>
      </w:r>
    </w:p>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（一）软件研发及外包</w:t>
      </w:r>
    </w:p>
    <w:tbl>
      <w:tblPr>
        <w:tblStyle w:val="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84"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jc w:val="center"/>
        </w:trPr>
        <w:tc>
          <w:tcPr>
            <w:tcW w:w="2376" w:type="dxa"/>
            <w:tcMar>
              <w:top w:w="113" w:type="dxa"/>
              <w:bottom w:w="113" w:type="dxa"/>
            </w:tcMar>
            <w:vAlign w:val="center"/>
          </w:tcPr>
          <w:p>
            <w:pPr>
              <w:tabs>
                <w:tab w:val="left" w:pos="4500"/>
              </w:tabs>
              <w:autoSpaceDN w:val="0"/>
              <w:spacing w:line="400" w:lineRule="exact"/>
              <w:jc w:val="center"/>
              <w:rPr>
                <w:rFonts w:eastAsia="仿宋_GB2312"/>
                <w:color w:val="000000"/>
                <w:sz w:val="24"/>
              </w:rPr>
            </w:pPr>
            <w:r>
              <w:rPr>
                <w:rFonts w:eastAsia="仿宋_GB2312"/>
                <w:color w:val="000000"/>
                <w:sz w:val="24"/>
              </w:rPr>
              <w:t>软件研发及开发服务</w:t>
            </w:r>
          </w:p>
        </w:tc>
        <w:tc>
          <w:tcPr>
            <w:tcW w:w="668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tcMar>
              <w:top w:w="113" w:type="dxa"/>
              <w:bottom w:w="113" w:type="dxa"/>
            </w:tcMar>
            <w:vAlign w:val="center"/>
          </w:tcPr>
          <w:p>
            <w:pPr>
              <w:tabs>
                <w:tab w:val="left" w:pos="4500"/>
              </w:tabs>
              <w:autoSpaceDN w:val="0"/>
              <w:spacing w:line="400" w:lineRule="exact"/>
              <w:jc w:val="center"/>
              <w:rPr>
                <w:rFonts w:eastAsia="仿宋_GB2312"/>
                <w:color w:val="000000"/>
                <w:sz w:val="24"/>
              </w:rPr>
            </w:pPr>
            <w:r>
              <w:rPr>
                <w:rFonts w:eastAsia="仿宋_GB2312"/>
                <w:color w:val="000000"/>
                <w:sz w:val="24"/>
              </w:rPr>
              <w:t>软件技术服务</w:t>
            </w:r>
          </w:p>
        </w:tc>
        <w:tc>
          <w:tcPr>
            <w:tcW w:w="668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软件咨询、维护、培训、测试等技术性服务。</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（二）信息技术研发服务外包</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6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3"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68"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3"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集成电路和电子电路设计</w:t>
            </w:r>
          </w:p>
        </w:tc>
        <w:tc>
          <w:tcPr>
            <w:tcW w:w="6668"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集成电路和电子电路产品设计以及相关技术支持服务等。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3"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测试平台</w:t>
            </w:r>
          </w:p>
        </w:tc>
        <w:tc>
          <w:tcPr>
            <w:tcW w:w="6668"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为软件、集成电路和电子电路的开发运用提供测试平台。</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p>
    <w:p>
      <w:pPr>
        <w:widowControl/>
        <w:jc w:val="left"/>
        <w:rPr>
          <w:rFonts w:ascii="黑体" w:hAnsi="黑体" w:eastAsia="黑体"/>
          <w:color w:val="000000"/>
          <w:sz w:val="28"/>
          <w:szCs w:val="28"/>
        </w:rPr>
      </w:pPr>
      <w:r>
        <w:rPr>
          <w:rFonts w:ascii="黑体" w:hAnsi="黑体" w:eastAsia="黑体"/>
          <w:color w:val="000000"/>
          <w:sz w:val="28"/>
          <w:szCs w:val="28"/>
        </w:rPr>
        <w:br w:type="page"/>
      </w:r>
    </w:p>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（三）信息系统运营维护外包</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2"/>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2"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59"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02"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信息系统运营</w:t>
            </w:r>
          </w:p>
          <w:p>
            <w:pPr>
              <w:autoSpaceDN w:val="0"/>
              <w:spacing w:line="400" w:lineRule="exact"/>
              <w:jc w:val="center"/>
              <w:rPr>
                <w:rFonts w:eastAsia="仿宋_GB2312"/>
                <w:color w:val="000000"/>
                <w:sz w:val="24"/>
              </w:rPr>
            </w:pPr>
            <w:r>
              <w:rPr>
                <w:rFonts w:eastAsia="仿宋_GB2312"/>
                <w:color w:val="000000"/>
                <w:sz w:val="24"/>
              </w:rPr>
              <w:t>和维护服务</w:t>
            </w:r>
          </w:p>
        </w:tc>
        <w:tc>
          <w:tcPr>
            <w:tcW w:w="6659"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客户内部信息系统集成、网络管理、桌面管理与维护服务；信息工程、地理信息系统、远程维护等信息系统应用服务。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402"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基础信息技术</w:t>
            </w:r>
          </w:p>
          <w:p>
            <w:pPr>
              <w:autoSpaceDN w:val="0"/>
              <w:spacing w:line="400" w:lineRule="exact"/>
              <w:jc w:val="center"/>
              <w:rPr>
                <w:rFonts w:eastAsia="仿宋_GB2312"/>
                <w:color w:val="000000"/>
                <w:sz w:val="24"/>
              </w:rPr>
            </w:pPr>
            <w:r>
              <w:rPr>
                <w:rFonts w:eastAsia="仿宋_GB2312"/>
                <w:color w:val="000000"/>
                <w:sz w:val="24"/>
              </w:rPr>
              <w:t>服务</w:t>
            </w:r>
          </w:p>
        </w:tc>
        <w:tc>
          <w:tcPr>
            <w:tcW w:w="6659"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基础信息技术管理平台整合、IT基础设施管理、数据中心、托管中心、安全服务、通讯服务等基础信息技术服务。</w:t>
            </w:r>
          </w:p>
        </w:tc>
      </w:tr>
    </w:tbl>
    <w:p>
      <w:pPr>
        <w:tabs>
          <w:tab w:val="left" w:pos="4500"/>
        </w:tabs>
        <w:autoSpaceDN w:val="0"/>
        <w:spacing w:beforeLines="50" w:afterLines="50" w:line="580" w:lineRule="exact"/>
        <w:ind w:firstLine="640" w:firstLineChars="200"/>
        <w:rPr>
          <w:rFonts w:ascii="黑体" w:hAnsi="黑体" w:eastAsia="黑体"/>
          <w:color w:val="000000"/>
          <w:sz w:val="32"/>
          <w:szCs w:val="32"/>
        </w:rPr>
      </w:pPr>
      <w:r>
        <w:rPr>
          <w:rFonts w:ascii="黑体" w:hAnsi="黑体" w:eastAsia="黑体"/>
          <w:color w:val="000000"/>
          <w:sz w:val="32"/>
          <w:szCs w:val="32"/>
        </w:rPr>
        <w:t>二、技术性业务流程外包服务（BPO）</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407"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654"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407" w:type="dxa"/>
            <w:tcMar>
              <w:top w:w="113" w:type="dxa"/>
              <w:left w:w="57" w:type="dxa"/>
              <w:bottom w:w="113" w:type="dxa"/>
              <w:right w:w="57" w:type="dxa"/>
            </w:tcMar>
            <w:vAlign w:val="center"/>
          </w:tcPr>
          <w:p>
            <w:pPr>
              <w:autoSpaceDN w:val="0"/>
              <w:spacing w:line="400" w:lineRule="exact"/>
              <w:jc w:val="center"/>
              <w:rPr>
                <w:rFonts w:eastAsia="仿宋_GB2312"/>
                <w:color w:val="000000"/>
                <w:spacing w:val="-4"/>
                <w:sz w:val="24"/>
              </w:rPr>
            </w:pPr>
            <w:r>
              <w:rPr>
                <w:rFonts w:eastAsia="仿宋_GB2312"/>
                <w:color w:val="000000"/>
                <w:spacing w:val="-4"/>
                <w:sz w:val="24"/>
              </w:rPr>
              <w:t>企业业务流程</w:t>
            </w:r>
          </w:p>
          <w:p>
            <w:pPr>
              <w:autoSpaceDN w:val="0"/>
              <w:spacing w:line="400" w:lineRule="exact"/>
              <w:jc w:val="center"/>
              <w:rPr>
                <w:rFonts w:eastAsia="仿宋_GB2312"/>
                <w:color w:val="000000"/>
                <w:spacing w:val="-4"/>
                <w:sz w:val="24"/>
              </w:rPr>
            </w:pPr>
            <w:r>
              <w:rPr>
                <w:rFonts w:eastAsia="仿宋_GB2312"/>
                <w:color w:val="000000"/>
                <w:spacing w:val="-4"/>
                <w:sz w:val="24"/>
              </w:rPr>
              <w:t>设计服务</w:t>
            </w:r>
          </w:p>
        </w:tc>
        <w:tc>
          <w:tcPr>
            <w:tcW w:w="665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为客户企业提供内部管理、业务运作等流程设计服务。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2407"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企业内部管理</w:t>
            </w:r>
          </w:p>
          <w:p>
            <w:pPr>
              <w:autoSpaceDN w:val="0"/>
              <w:spacing w:line="400" w:lineRule="exact"/>
              <w:jc w:val="center"/>
              <w:rPr>
                <w:rFonts w:eastAsia="仿宋_GB2312"/>
                <w:color w:val="000000"/>
                <w:sz w:val="24"/>
              </w:rPr>
            </w:pPr>
            <w:r>
              <w:rPr>
                <w:rFonts w:eastAsia="仿宋_GB2312"/>
                <w:color w:val="000000"/>
                <w:sz w:val="24"/>
              </w:rPr>
              <w:t>服务</w:t>
            </w:r>
          </w:p>
        </w:tc>
        <w:tc>
          <w:tcPr>
            <w:tcW w:w="665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为客户企业提供后台管理、人力资源管理、财务、审计与税务管理、金融支付服务、医疗数据及其他内部管理业务的数据分析、数据挖掘、数据管理、数据使用的服务；承接客户专业数据处理、分析和整合服务。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2407"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企业运营服务</w:t>
            </w:r>
          </w:p>
        </w:tc>
        <w:tc>
          <w:tcPr>
            <w:tcW w:w="6654"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tcMar>
              <w:top w:w="113" w:type="dxa"/>
              <w:bottom w:w="113" w:type="dxa"/>
            </w:tcMar>
            <w:vAlign w:val="center"/>
          </w:tcPr>
          <w:p>
            <w:pPr>
              <w:autoSpaceDN w:val="0"/>
              <w:spacing w:line="400" w:lineRule="exact"/>
              <w:jc w:val="center"/>
              <w:rPr>
                <w:rFonts w:eastAsia="仿宋_GB2312"/>
                <w:color w:val="000000"/>
                <w:sz w:val="24"/>
              </w:rPr>
            </w:pPr>
            <w:r>
              <w:rPr>
                <w:rFonts w:eastAsia="仿宋_GB2312"/>
                <w:color w:val="000000"/>
                <w:sz w:val="24"/>
              </w:rPr>
              <w:t>企业供应链管理服务</w:t>
            </w:r>
          </w:p>
        </w:tc>
        <w:tc>
          <w:tcPr>
            <w:tcW w:w="6654" w:type="dxa"/>
            <w:tcMar>
              <w:top w:w="113" w:type="dxa"/>
              <w:bottom w:w="113" w:type="dxa"/>
            </w:tcMar>
            <w:vAlign w:val="center"/>
          </w:tcPr>
          <w:p>
            <w:pPr>
              <w:autoSpaceDN w:val="0"/>
              <w:spacing w:line="400" w:lineRule="exact"/>
              <w:rPr>
                <w:rFonts w:eastAsia="仿宋_GB2312"/>
                <w:color w:val="000000"/>
                <w:sz w:val="24"/>
              </w:rPr>
            </w:pPr>
            <w:r>
              <w:rPr>
                <w:rFonts w:eastAsia="仿宋_GB2312"/>
                <w:color w:val="000000"/>
                <w:sz w:val="24"/>
              </w:rPr>
              <w:t>为客户企业提供采购、物流的整体方案设计及数据库服务。</w:t>
            </w:r>
          </w:p>
        </w:tc>
      </w:tr>
    </w:tbl>
    <w:p>
      <w:pPr>
        <w:tabs>
          <w:tab w:val="left" w:pos="4500"/>
        </w:tabs>
        <w:autoSpaceDN w:val="0"/>
        <w:spacing w:line="240" w:lineRule="exact"/>
        <w:ind w:firstLine="480" w:firstLineChars="200"/>
        <w:rPr>
          <w:rFonts w:eastAsia="仿宋_GB2312"/>
          <w:color w:val="000000"/>
          <w:sz w:val="24"/>
        </w:rPr>
      </w:pPr>
    </w:p>
    <w:p>
      <w:pPr>
        <w:widowControl/>
        <w:jc w:val="left"/>
        <w:rPr>
          <w:rFonts w:ascii="黑体" w:hAnsi="黑体" w:eastAsia="黑体"/>
          <w:color w:val="000000"/>
          <w:sz w:val="32"/>
          <w:szCs w:val="32"/>
        </w:rPr>
      </w:pPr>
      <w:r>
        <w:rPr>
          <w:rFonts w:ascii="黑体" w:hAnsi="黑体" w:eastAsia="黑体"/>
          <w:color w:val="000000"/>
          <w:sz w:val="32"/>
          <w:szCs w:val="32"/>
        </w:rPr>
        <w:br w:type="page"/>
      </w:r>
    </w:p>
    <w:p>
      <w:pPr>
        <w:tabs>
          <w:tab w:val="left" w:pos="4500"/>
        </w:tabs>
        <w:autoSpaceDN w:val="0"/>
        <w:spacing w:beforeLines="50" w:afterLines="50" w:line="580" w:lineRule="exact"/>
        <w:ind w:firstLine="640" w:firstLineChars="200"/>
        <w:rPr>
          <w:rFonts w:ascii="黑体" w:hAnsi="黑体" w:eastAsia="黑体"/>
          <w:color w:val="000000"/>
          <w:sz w:val="32"/>
          <w:szCs w:val="32"/>
        </w:rPr>
      </w:pPr>
      <w:r>
        <w:rPr>
          <w:rFonts w:ascii="黑体" w:hAnsi="黑体" w:eastAsia="黑体"/>
          <w:color w:val="000000"/>
          <w:sz w:val="32"/>
          <w:szCs w:val="32"/>
        </w:rPr>
        <w:t>三、技术性知识流程外包服务（KPO）</w:t>
      </w:r>
    </w:p>
    <w:tbl>
      <w:tblPr>
        <w:tblStyle w:val="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1" w:type="dxa"/>
            <w:tcMar>
              <w:top w:w="113" w:type="dxa"/>
              <w:bottom w:w="113" w:type="dxa"/>
            </w:tcMar>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061" w:type="dxa"/>
            <w:tcMar>
              <w:top w:w="113" w:type="dxa"/>
              <w:bottom w:w="113" w:type="dxa"/>
            </w:tcMar>
            <w:vAlign w:val="center"/>
          </w:tcPr>
          <w:p>
            <w:pPr>
              <w:tabs>
                <w:tab w:val="left" w:pos="4500"/>
              </w:tabs>
              <w:autoSpaceDN w:val="0"/>
              <w:spacing w:line="400" w:lineRule="exact"/>
              <w:rPr>
                <w:rFonts w:eastAsia="仿宋_GB2312"/>
                <w:color w:val="000000"/>
                <w:sz w:val="24"/>
              </w:rPr>
            </w:pPr>
            <w:r>
              <w:rPr>
                <w:rFonts w:eastAsia="仿宋_GB2312"/>
                <w:color w:val="000000"/>
                <w:sz w:val="24"/>
              </w:rPr>
              <w:t>知识产权研究、医药和生物技术研发和测试、产品技术研发、工业设计、分析学和数据挖掘、动漫及网游设计研发、教育课件研发、工程设计等领域。</w:t>
            </w:r>
          </w:p>
        </w:tc>
      </w:tr>
    </w:tbl>
    <w:p>
      <w:pPr>
        <w:tabs>
          <w:tab w:val="left" w:pos="4500"/>
        </w:tabs>
        <w:autoSpaceDN w:val="0"/>
        <w:spacing w:beforeLines="50" w:afterLines="50" w:line="580" w:lineRule="exact"/>
        <w:ind w:firstLine="640" w:firstLineChars="200"/>
        <w:rPr>
          <w:rFonts w:ascii="黑体" w:hAnsi="黑体" w:eastAsia="黑体"/>
          <w:color w:val="000000"/>
          <w:sz w:val="32"/>
          <w:szCs w:val="32"/>
        </w:rPr>
      </w:pPr>
      <w:r>
        <w:rPr>
          <w:rFonts w:ascii="黑体" w:hAnsi="黑体" w:eastAsia="黑体"/>
          <w:color w:val="000000"/>
          <w:sz w:val="32"/>
          <w:szCs w:val="32"/>
        </w:rPr>
        <w:t>四、服务贸易类</w:t>
      </w:r>
    </w:p>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（一）计算机和信息服务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936"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信息系统集成服务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系统集成咨询服务；系统集成工程服务；提供硬件设备现场组装、软件安装与调试及相关运营维护支撑服务；系统运营维护服务，包括系统运行检测监控、故障定位与排除、性能管理、优化升级等。</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354"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数据服务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数据存储管理服务，提供数据规划、评估、审计、咨询、清洗、整理、应用服务，数据增值服务，提供其他未分类数据处理服务。</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（二）研究开发和技术服务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tblHeader/>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研究和实验开发服务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物理学、化学、生物学、基因学、工程学、医学、农业科学、环境科学、人类地理科学、经济学和人文科学等领域的研究和实验开发服务。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工业设计服务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对产品的材料、结构、机理、形状、颜色和表面处理的设计与选择；对产品进行的综合设计服务，即产品外观的设计、机械结构和电路设计等服务。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874"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知识产权跨境许可</w:t>
            </w:r>
          </w:p>
          <w:p>
            <w:pPr>
              <w:widowControl/>
              <w:spacing w:line="400" w:lineRule="exact"/>
              <w:jc w:val="center"/>
              <w:rPr>
                <w:rFonts w:eastAsia="仿宋_GB2312"/>
                <w:color w:val="000000"/>
                <w:sz w:val="24"/>
              </w:rPr>
            </w:pPr>
            <w:r>
              <w:rPr>
                <w:rFonts w:eastAsia="仿宋_GB2312"/>
                <w:color w:val="000000"/>
                <w:sz w:val="24"/>
              </w:rPr>
              <w:t>与转让</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以专利、版权、商标等为载体的技术贸易。知识产权跨境许可是指授权境外机构有偿使用专利、版权和商标等；知识产权跨境转让是指将专利、版权和商标等知识产权售卖给境外机构。</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（三）文化技术服务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747"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文化产品数字制作</w:t>
            </w:r>
          </w:p>
          <w:p>
            <w:pPr>
              <w:widowControl/>
              <w:spacing w:line="400" w:lineRule="exact"/>
              <w:jc w:val="center"/>
              <w:rPr>
                <w:rFonts w:eastAsia="仿宋_GB2312"/>
                <w:color w:val="000000"/>
                <w:sz w:val="24"/>
              </w:rPr>
            </w:pPr>
            <w:r>
              <w:rPr>
                <w:rFonts w:eastAsia="仿宋_GB2312"/>
                <w:color w:val="000000"/>
                <w:sz w:val="24"/>
              </w:rPr>
              <w:t>及相关服务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采用数字技术对舞台剧目、音乐、美术、文物、非物质文化遗产、文献资源等文化内容以及各种出版物进行数字化转化和开发，为各种显示终端提供内容，以及采用数字技术传播、经营文化产品等相关服务。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345"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文化产品的对外翻译、</w:t>
            </w:r>
          </w:p>
          <w:p>
            <w:pPr>
              <w:widowControl/>
              <w:spacing w:line="400" w:lineRule="exact"/>
              <w:jc w:val="center"/>
              <w:rPr>
                <w:rFonts w:eastAsia="仿宋_GB2312"/>
                <w:color w:val="000000"/>
                <w:sz w:val="24"/>
              </w:rPr>
            </w:pPr>
            <w:r>
              <w:rPr>
                <w:rFonts w:eastAsia="仿宋_GB2312"/>
                <w:color w:val="000000"/>
                <w:sz w:val="24"/>
              </w:rPr>
              <w:t>配音及制作服务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将本国文化产品翻译或配音成其他国家语言，将其他国家文化产品翻译或配音成本国语言以及与其相关的制作服务。</w:t>
            </w:r>
          </w:p>
        </w:tc>
      </w:tr>
    </w:tbl>
    <w:p>
      <w:pPr>
        <w:tabs>
          <w:tab w:val="left" w:pos="4500"/>
        </w:tabs>
        <w:autoSpaceDN w:val="0"/>
        <w:spacing w:beforeLines="50" w:afterLines="50" w:line="520" w:lineRule="exact"/>
        <w:ind w:firstLine="560" w:firstLineChars="200"/>
        <w:rPr>
          <w:rFonts w:ascii="黑体" w:hAnsi="黑体" w:eastAsia="黑体"/>
          <w:color w:val="000000"/>
          <w:sz w:val="28"/>
          <w:szCs w:val="28"/>
        </w:rPr>
      </w:pPr>
      <w:r>
        <w:rPr>
          <w:rFonts w:ascii="黑体" w:hAnsi="黑体" w:eastAsia="黑体"/>
          <w:color w:val="000000"/>
          <w:sz w:val="28"/>
          <w:szCs w:val="28"/>
        </w:rPr>
        <w:t>（四</w:t>
      </w:r>
      <w:r>
        <w:rPr>
          <w:rFonts w:hint="eastAsia" w:ascii="黑体" w:hAnsi="黑体" w:eastAsia="黑体"/>
          <w:color w:val="000000"/>
          <w:sz w:val="28"/>
          <w:szCs w:val="28"/>
        </w:rPr>
        <w:t>）</w:t>
      </w:r>
      <w:r>
        <w:rPr>
          <w:rFonts w:ascii="黑体" w:hAnsi="黑体" w:eastAsia="黑体"/>
          <w:color w:val="000000"/>
          <w:sz w:val="28"/>
          <w:szCs w:val="28"/>
        </w:rPr>
        <w:t>中医药医疗服务</w:t>
      </w:r>
    </w:p>
    <w:tbl>
      <w:tblPr>
        <w:tblStyle w:val="3"/>
        <w:tblW w:w="9059"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108" w:type="dxa"/>
          <w:bottom w:w="0" w:type="dxa"/>
          <w:right w:w="108" w:type="dxa"/>
        </w:tblCellMar>
      </w:tblPr>
      <w:tblGrid>
        <w:gridCol w:w="3024"/>
        <w:gridCol w:w="603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567" w:hRule="atLeast"/>
          <w:jc w:val="center"/>
        </w:trPr>
        <w:tc>
          <w:tcPr>
            <w:tcW w:w="3024"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类 别</w:t>
            </w:r>
          </w:p>
        </w:tc>
        <w:tc>
          <w:tcPr>
            <w:tcW w:w="6035" w:type="dxa"/>
            <w:tcBorders>
              <w:top w:val="outset" w:color="000000" w:sz="6" w:space="0"/>
              <w:left w:val="outset" w:color="000000" w:sz="6" w:space="0"/>
              <w:bottom w:val="outset" w:color="000000" w:sz="6" w:space="0"/>
              <w:right w:val="outset" w:color="000000" w:sz="6" w:space="0"/>
            </w:tcBorders>
            <w:shd w:val="clear" w:color="auto" w:fill="FFFFFF"/>
            <w:vAlign w:val="center"/>
          </w:tcPr>
          <w:p>
            <w:pPr>
              <w:tabs>
                <w:tab w:val="left" w:pos="4500"/>
              </w:tabs>
              <w:autoSpaceDN w:val="0"/>
              <w:spacing w:line="400" w:lineRule="exact"/>
              <w:jc w:val="center"/>
              <w:rPr>
                <w:rFonts w:ascii="黑体" w:hAnsi="黑体" w:eastAsia="黑体"/>
                <w:color w:val="000000"/>
                <w:sz w:val="24"/>
              </w:rPr>
            </w:pPr>
            <w:r>
              <w:rPr>
                <w:rFonts w:ascii="黑体" w:hAnsi="黑体" w:eastAsia="黑体"/>
                <w:color w:val="000000"/>
                <w:sz w:val="24"/>
              </w:rPr>
              <w:t>适用范围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108" w:type="dxa"/>
            <w:bottom w:w="0" w:type="dxa"/>
            <w:right w:w="108" w:type="dxa"/>
          </w:tblCellMar>
        </w:tblPrEx>
        <w:trPr>
          <w:trHeight w:val="1058" w:hRule="atLeast"/>
          <w:jc w:val="center"/>
        </w:trPr>
        <w:tc>
          <w:tcPr>
            <w:tcW w:w="3024"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jc w:val="center"/>
              <w:rPr>
                <w:rFonts w:eastAsia="仿宋_GB2312"/>
                <w:color w:val="000000"/>
                <w:sz w:val="24"/>
              </w:rPr>
            </w:pPr>
            <w:r>
              <w:rPr>
                <w:rFonts w:eastAsia="仿宋_GB2312"/>
                <w:color w:val="000000"/>
                <w:sz w:val="24"/>
              </w:rPr>
              <w:t>中医药医疗保健及</w:t>
            </w:r>
          </w:p>
          <w:p>
            <w:pPr>
              <w:widowControl/>
              <w:spacing w:line="400" w:lineRule="exact"/>
              <w:jc w:val="center"/>
              <w:rPr>
                <w:rFonts w:eastAsia="仿宋_GB2312"/>
                <w:color w:val="000000"/>
                <w:sz w:val="24"/>
              </w:rPr>
            </w:pPr>
            <w:r>
              <w:rPr>
                <w:rFonts w:eastAsia="仿宋_GB2312"/>
                <w:color w:val="000000"/>
                <w:sz w:val="24"/>
              </w:rPr>
              <w:t>相关服务</w:t>
            </w:r>
          </w:p>
        </w:tc>
        <w:tc>
          <w:tcPr>
            <w:tcW w:w="6035" w:type="dxa"/>
            <w:tcBorders>
              <w:top w:val="outset" w:color="000000" w:sz="6" w:space="0"/>
              <w:left w:val="outset" w:color="000000" w:sz="6" w:space="0"/>
              <w:bottom w:val="outset" w:color="000000" w:sz="6" w:space="0"/>
              <w:right w:val="outset" w:color="000000" w:sz="6" w:space="0"/>
            </w:tcBorders>
            <w:vAlign w:val="center"/>
          </w:tcPr>
          <w:p>
            <w:pPr>
              <w:widowControl/>
              <w:spacing w:line="400" w:lineRule="exact"/>
              <w:rPr>
                <w:rFonts w:eastAsia="仿宋_GB2312"/>
                <w:color w:val="000000"/>
                <w:sz w:val="24"/>
              </w:rPr>
            </w:pPr>
            <w:r>
              <w:rPr>
                <w:rFonts w:eastAsia="仿宋_GB2312"/>
                <w:color w:val="000000"/>
                <w:sz w:val="24"/>
              </w:rPr>
              <w:t>与中医药相关的远程医疗保健、教育培训、文化交流等服务。</w:t>
            </w:r>
          </w:p>
        </w:tc>
      </w:tr>
    </w:tbl>
    <w:p>
      <w:pPr>
        <w:pStyle w:val="2"/>
        <w:widowControl w:val="0"/>
        <w:shd w:val="clear" w:color="auto" w:fill="FFFFFF"/>
        <w:adjustRightInd w:val="0"/>
        <w:snapToGrid w:val="0"/>
        <w:spacing w:beforeLines="50" w:beforeAutospacing="0" w:after="0" w:afterAutospacing="0" w:line="240" w:lineRule="exact"/>
        <w:ind w:left="5250"/>
        <w:rPr>
          <w:rFonts w:ascii="Times New Roman" w:hAnsi="Times New Roman" w:eastAsia="仿宋_GB2312" w:cs="Times New Roman"/>
          <w:color w:val="000000"/>
        </w:rPr>
      </w:pPr>
    </w:p>
    <w:p>
      <w:pPr>
        <w:pStyle w:val="2"/>
        <w:widowControl w:val="0"/>
        <w:shd w:val="clear" w:color="auto" w:fill="FFFFFF"/>
        <w:adjustRightInd w:val="0"/>
        <w:snapToGrid w:val="0"/>
        <w:spacing w:beforeLines="50" w:beforeAutospacing="0" w:after="0" w:afterAutospacing="0" w:line="240" w:lineRule="exact"/>
        <w:ind w:left="5250"/>
        <w:rPr>
          <w:rFonts w:ascii="Times New Roman" w:hAnsi="Times New Roman" w:eastAsia="仿宋_GB2312" w:cs="Times New Roman"/>
          <w:color w:val="000000"/>
        </w:rPr>
      </w:pPr>
    </w:p>
    <w:p>
      <w:pPr>
        <w:pStyle w:val="2"/>
        <w:widowControl w:val="0"/>
        <w:shd w:val="clear" w:color="auto" w:fill="FFFFFF"/>
        <w:adjustRightInd w:val="0"/>
        <w:snapToGrid w:val="0"/>
        <w:spacing w:beforeLines="50" w:beforeAutospacing="0" w:after="0" w:afterAutospacing="0" w:line="240" w:lineRule="exact"/>
        <w:ind w:left="5250"/>
        <w:rPr>
          <w:rFonts w:ascii="仿宋_GB2312" w:eastAsia="仿宋"/>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3534A"/>
    <w:rsid w:val="1683534A"/>
    <w:rsid w:val="289C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2020-12-09T07:28:00Z</dcterms:created>
  <dc:creator>CH</dc:creator>
  <cp:lastModifiedBy>CH</cp:lastModifiedBy>
  <dcterms:modified xsi:type="dcterms:W3CDTF">2020-12-09T07:29:08Z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