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5"/>
        <w:rPr>
          <w:rFonts w:hint="eastAsia" w:ascii="黑体" w:hAnsi="微软雅黑" w:eastAsia="黑体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6"/>
          <w:szCs w:val="36"/>
        </w:rPr>
        <w:fldChar w:fldCharType="begin"/>
      </w:r>
      <w:r>
        <w:rPr>
          <w:rFonts w:hint="eastAsia" w:ascii="仿宋_GB2312" w:hAnsi="微软雅黑" w:eastAsia="仿宋_GB2312" w:cs="宋体"/>
          <w:kern w:val="0"/>
          <w:sz w:val="36"/>
          <w:szCs w:val="36"/>
        </w:rPr>
        <w:instrText xml:space="preserve"> HYPERLINK "http://www.hbstd.gov.cn/CMShbstd/201805/201805210547000.docx" \t "_blank" </w:instrText>
      </w:r>
      <w:r>
        <w:rPr>
          <w:rFonts w:hint="eastAsia" w:ascii="仿宋_GB2312" w:hAnsi="微软雅黑" w:eastAsia="仿宋_GB2312" w:cs="宋体"/>
          <w:kern w:val="0"/>
          <w:sz w:val="36"/>
          <w:szCs w:val="36"/>
        </w:rPr>
        <w:fldChar w:fldCharType="separate"/>
      </w:r>
      <w:r>
        <w:rPr>
          <w:rFonts w:hint="eastAsia" w:ascii="黑体" w:hAnsi="微软雅黑" w:eastAsia="黑体" w:cs="宋体"/>
          <w:kern w:val="0"/>
          <w:sz w:val="32"/>
          <w:szCs w:val="32"/>
        </w:rPr>
        <w:t>附件</w:t>
      </w:r>
    </w:p>
    <w:p>
      <w:pPr>
        <w:spacing w:line="590" w:lineRule="exact"/>
        <w:ind w:right="55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山东省2021年度技术先进型服务企业名单</w:t>
      </w:r>
      <w:r>
        <w:rPr>
          <w:rFonts w:hint="eastAsia" w:ascii="彩虹小标宋" w:hAnsi="微软雅黑" w:eastAsia="彩虹小标宋" w:cs="宋体"/>
          <w:kern w:val="0"/>
          <w:sz w:val="36"/>
          <w:szCs w:val="36"/>
        </w:rPr>
        <w:fldChar w:fldCharType="end"/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济南特利欧信息科技有限公司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济南利达智通信息技术有限公司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济南海文尚投软件有限公司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优创（济南）数据技术有限公司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山东丽能电力技术股份有限公司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现代汽车研发中心（中国）有限公司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烟台亿能机电科技有限公司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潍坊乐维特建筑技术有限公司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威海迪尚服装技术研发有限公司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40CA1"/>
    <w:rsid w:val="4C640CA1"/>
    <w:rsid w:val="557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2022-01-04T03:53:00Z</dcterms:created>
  <dc:creator>CH</dc:creator>
  <cp:lastModifiedBy>CH</cp:lastModifiedBy>
  <dcterms:modified xsi:type="dcterms:W3CDTF">2022-01-04T03:53:55Z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